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none" w:color="FFFFFF" w:sz="0"/>
              <w:right w:val="none" w:color="FFFFFF" w:sz="0"/>
            </w:tcBorders>
            <w:shd w:fill="1C3A28" w:color="auto" w:val="clear"/>
            <w:tcMar>
              <w:top w:type="dxa" w:w="240"/>
              <w:left w:type="dxa" w:w="360"/>
              <w:bottom w:type="dxa" w:w="240"/>
              <w:right w:type="dxa" w:w="360"/>
            </w:tcMar>
          </w:tcPr>
          <w:p>
            <w:pPr>
              <w:spacing w:after="100" w:line="280"/>
            </w:pPr>
            <w:r>
              <w:rPr>
                <w:rFonts w:ascii="Arial" w:cs="Arial" w:eastAsia="Arial" w:hAnsi="Arial"/>
                <w:b/>
                <w:bCs/>
                <w:color w:val="C4952A"/>
                <w:sz w:val="17"/>
                <w:szCs w:val="17"/>
              </w:rPr>
              <w:t xml:space="preserve">CASE STUDY</w:t>
            </w:r>
          </w:p>
          <w:p>
            <w:pPr>
              <w:spacing w:after="80" w:line="280"/>
            </w:pPr>
            <w:r>
              <w:rPr>
                <w:rFonts w:ascii="Arial" w:cs="Arial" w:eastAsia="Arial" w:hAnsi="Arial"/>
                <w:b/>
                <w:bCs/>
                <w:color w:val="FFFFFF"/>
                <w:sz w:val="40"/>
                <w:szCs w:val="40"/>
              </w:rPr>
              <w:t xml:space="preserve">Georgian Court Hotel Vancouver</w:t>
            </w:r>
          </w:p>
          <w:p>
            <w:pPr>
              <w:spacing w:after="120" w:line="280"/>
            </w:pPr>
            <w:r>
              <w:rPr>
                <w:rFonts w:ascii="Arial" w:cs="Arial" w:eastAsia="Arial" w:hAnsi="Arial"/>
                <w:color w:val="F5F2EB"/>
                <w:sz w:val="23"/>
                <w:szCs w:val="23"/>
              </w:rPr>
              <w:t xml:space="preserve">Direct bookings up 38.7% year over year as AI readiness rose from 42% to 66%</w:t>
            </w:r>
          </w:p>
          <w:p>
            <w:pPr>
              <w:spacing w:after="0" w:line="280"/>
            </w:pPr>
            <w:r>
              <w:rPr>
                <w:rFonts w:ascii="Arial" w:cs="Arial" w:eastAsia="Arial" w:hAnsi="Arial"/>
                <w:color w:val="F5F2EB"/>
                <w:sz w:val="16"/>
                <w:szCs w:val="16"/>
              </w:rPr>
              <w:t xml:space="preserve">ALFIE Entity Sovereignty Forensic Audits, July 8 and September 29, 2026  |  Protected by ALFIE Inc.</w:t>
            </w:r>
          </w:p>
        </w:tc>
      </w:tr>
    </w:tbl>
    <w:p>
      <w:pPr>
        <w:spacing w:after="40" w:before="180" w:line="300"/>
      </w:pPr>
      <w:r>
        <w:rPr>
          <w:rFonts w:ascii="Arial" w:cs="Arial" w:eastAsia="Arial" w:hAnsi="Arial"/>
          <w:color w:val="222222"/>
          <w:sz w:val="19"/>
          <w:szCs w:val="19"/>
        </w:rPr>
        <w:t xml:space="preserve">Georgian Court is a 180-room boutique hotel at 773 Beatty Street in downtown Vancouver, part of the WorldHotels Elite Collection, with a TripAdvisor Travelers' Choice 2026 award. It joined the ALFIE AI Remediation Platform on July 1, 2026.</w:t>
      </w:r>
    </w:p>
    <w:p>
      <w:pPr>
        <w:keepNext/>
        <w:pBdr>
          <w:bottom w:val="single" w:color="C4952A" w:sz="6" w:space="3"/>
        </w:pBdr>
        <w:spacing w:after="80" w:before="200"/>
      </w:pPr>
      <w:r>
        <w:rPr>
          <w:rFonts w:ascii="Arial" w:cs="Arial" w:eastAsia="Arial" w:hAnsi="Arial"/>
          <w:b/>
          <w:bCs/>
          <w:color w:val="1C3A28"/>
          <w:sz w:val="24"/>
          <w:szCs w:val="24"/>
        </w:rPr>
        <w:t xml:space="preserve">The result: direct bookings up 38.7%</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cantSplit/>
          <w:tblHeader/>
        </w:trPr>
        <w:tc>
          <w:tcPr>
            <w:tcW w:type="dxa" w:w="3120"/>
            <w:tcBorders>
              <w:top w:val="single" w:color="D8D2C2" w:sz="4"/>
              <w:left w:val="single" w:color="D8D2C2" w:sz="4"/>
              <w:bottom w:val="single" w:color="D8D2C2" w:sz="4"/>
              <w:right w:val="single" w:color="D8D2C2" w:sz="4"/>
            </w:tcBorders>
            <w:shd w:fill="1C3A28" w:color="auto" w:val="clear"/>
            <w:tcMar>
              <w:top w:type="dxa" w:w="80"/>
              <w:left w:type="dxa" w:w="110"/>
              <w:bottom w:type="dxa" w:w="80"/>
              <w:right w:type="dxa" w:w="110"/>
            </w:tcMar>
            <w:vAlign w:val="center"/>
          </w:tcPr>
          <w:p>
            <w:pPr>
              <w:spacing w:after="0" w:line="270"/>
              <w:jc w:val="left"/>
            </w:pPr>
            <w:r>
              <w:rPr>
                <w:rFonts w:ascii="Arial" w:cs="Arial" w:eastAsia="Arial" w:hAnsi="Arial"/>
                <w:b/>
                <w:bCs/>
                <w:color w:val="FFFFFF"/>
                <w:sz w:val="19"/>
                <w:szCs w:val="19"/>
              </w:rPr>
              <w:t xml:space="preserve">August 2025</w:t>
            </w:r>
          </w:p>
        </w:tc>
        <w:tc>
          <w:tcPr>
            <w:tcW w:type="dxa" w:w="3120"/>
            <w:tcBorders>
              <w:top w:val="single" w:color="D8D2C2" w:sz="4"/>
              <w:left w:val="single" w:color="D8D2C2" w:sz="4"/>
              <w:bottom w:val="single" w:color="D8D2C2" w:sz="4"/>
              <w:right w:val="single" w:color="D8D2C2" w:sz="4"/>
            </w:tcBorders>
            <w:shd w:fill="1C3A28" w:color="auto" w:val="clear"/>
            <w:tcMar>
              <w:top w:type="dxa" w:w="80"/>
              <w:left w:type="dxa" w:w="110"/>
              <w:bottom w:type="dxa" w:w="80"/>
              <w:right w:type="dxa" w:w="110"/>
            </w:tcMar>
            <w:vAlign w:val="center"/>
          </w:tcPr>
          <w:p>
            <w:pPr>
              <w:spacing w:after="0" w:line="270"/>
              <w:jc w:val="center"/>
            </w:pPr>
            <w:r>
              <w:rPr>
                <w:rFonts w:ascii="Arial" w:cs="Arial" w:eastAsia="Arial" w:hAnsi="Arial"/>
                <w:b/>
                <w:bCs/>
                <w:color w:val="FFFFFF"/>
                <w:sz w:val="19"/>
                <w:szCs w:val="19"/>
              </w:rPr>
              <w:t xml:space="preserve">August 2026</w:t>
            </w:r>
          </w:p>
        </w:tc>
        <w:tc>
          <w:tcPr>
            <w:tcW w:type="dxa" w:w="3120"/>
            <w:tcBorders>
              <w:top w:val="single" w:color="D8D2C2" w:sz="4"/>
              <w:left w:val="single" w:color="D8D2C2" w:sz="4"/>
              <w:bottom w:val="single" w:color="D8D2C2" w:sz="4"/>
              <w:right w:val="single" w:color="D8D2C2" w:sz="4"/>
            </w:tcBorders>
            <w:shd w:fill="1C3A28" w:color="auto" w:val="clear"/>
            <w:tcMar>
              <w:top w:type="dxa" w:w="80"/>
              <w:left w:type="dxa" w:w="110"/>
              <w:bottom w:type="dxa" w:w="80"/>
              <w:right w:type="dxa" w:w="110"/>
            </w:tcMar>
            <w:vAlign w:val="center"/>
          </w:tcPr>
          <w:p>
            <w:pPr>
              <w:spacing w:after="0" w:line="270"/>
              <w:jc w:val="center"/>
            </w:pPr>
            <w:r>
              <w:rPr>
                <w:rFonts w:ascii="Arial" w:cs="Arial" w:eastAsia="Arial" w:hAnsi="Arial"/>
                <w:b/>
                <w:bCs/>
                <w:color w:val="FFFFFF"/>
                <w:sz w:val="19"/>
                <w:szCs w:val="19"/>
              </w:rPr>
              <w:t xml:space="preserve">Change</w:t>
            </w:r>
          </w:p>
        </w:tc>
      </w:tr>
      <w:tr>
        <w:trPr>
          <w:cantSplit/>
        </w:trPr>
        <w:tc>
          <w:tcPr>
            <w:tcW w:type="dxa" w:w="312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color w:val="222222"/>
                <w:sz w:val="19"/>
                <w:szCs w:val="19"/>
              </w:rPr>
              <w:t xml:space="preserve">1,050 room nights</w:t>
            </w:r>
          </w:p>
        </w:tc>
        <w:tc>
          <w:tcPr>
            <w:tcW w:type="dxa" w:w="312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1,456 room nights</w:t>
            </w:r>
          </w:p>
        </w:tc>
        <w:tc>
          <w:tcPr>
            <w:tcW w:type="dxa" w:w="312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+406 room nights (+38.7%)</w:t>
            </w:r>
          </w:p>
        </w:tc>
      </w:tr>
    </w:tbl>
    <w:p>
      <w:pPr>
        <w:spacing w:after="80" w:before="60" w:line="300"/>
      </w:pPr>
      <w:r>
        <w:rPr>
          <w:rFonts w:ascii="Arial" w:cs="Arial" w:eastAsia="Arial" w:hAnsi="Arial"/>
          <w:color w:val="666666"/>
          <w:sz w:val="15"/>
          <w:szCs w:val="15"/>
        </w:rPr>
        <w:t xml:space="preserve">Direct bookings received in each August, not guests staying in August. Figures reported by the hotel.</w:t>
      </w:r>
    </w:p>
    <w:p>
      <w:pPr>
        <w:spacing w:after="60" w:before="0" w:line="300"/>
      </w:pPr>
      <w:r>
        <w:rPr>
          <w:rFonts w:ascii="Arial" w:cs="Arial" w:eastAsia="Arial" w:hAnsi="Arial"/>
          <w:b/>
          <w:bCs/>
          <w:color w:val="1C3A28"/>
          <w:sz w:val="19"/>
          <w:szCs w:val="19"/>
        </w:rPr>
        <w:t xml:space="preserve">August direct bookings, the hotel's second month on ALFIE, rose 406 room nights year over year. AI readiness rose from 42% on July 8 to 66% on September 29.</w:t>
      </w:r>
    </w:p>
    <w:p>
      <w:pPr>
        <w:keepNext/>
        <w:pBdr>
          <w:bottom w:val="single" w:color="C4952A" w:sz="6" w:space="3"/>
        </w:pBdr>
        <w:spacing w:after="80" w:before="200"/>
      </w:pPr>
      <w:r>
        <w:rPr>
          <w:rFonts w:ascii="Arial" w:cs="Arial" w:eastAsia="Arial" w:hAnsi="Arial"/>
          <w:b/>
          <w:bCs/>
          <w:color w:val="1C3A28"/>
          <w:sz w:val="24"/>
          <w:szCs w:val="24"/>
        </w:rPr>
        <w:t xml:space="preserve">AI visibility gained over the same period</w:t>
      </w:r>
    </w:p>
    <w:p>
      <w:pPr>
        <w:spacing w:after="100" w:before="0" w:line="300"/>
      </w:pPr>
      <w:r>
        <w:rPr>
          <w:rFonts w:ascii="Arial" w:cs="Arial" w:eastAsia="Arial" w:hAnsi="Arial"/>
          <w:color w:val="222222"/>
          <w:sz w:val="19"/>
          <w:szCs w:val="19"/>
        </w:rPr>
        <w:t xml:space="preserve">Audits of the hotel's website on July 8 and September 29, 2026, one week and roughly thirteen weeks after remediation began, show that AI assistants can now read and verify far more of the hotel's facts. All eight underlying measures improved.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rPr>
          <w:cantSplit/>
          <w:tblHeader/>
        </w:trPr>
        <w:tc>
          <w:tcPr>
            <w:tcW w:type="dxa" w:w="1300"/>
            <w:tcBorders>
              <w:top w:val="single" w:color="D8D2C2" w:sz="4"/>
              <w:left w:val="single" w:color="D8D2C2" w:sz="4"/>
              <w:bottom w:val="single" w:color="D8D2C2" w:sz="4"/>
              <w:right w:val="single" w:color="D8D2C2" w:sz="4"/>
            </w:tcBorders>
            <w:shd w:fill="1C3A28" w:color="auto" w:val="clear"/>
            <w:tcMar>
              <w:top w:type="dxa" w:w="80"/>
              <w:left w:type="dxa" w:w="110"/>
              <w:bottom w:type="dxa" w:w="80"/>
              <w:right w:type="dxa" w:w="110"/>
            </w:tcMar>
            <w:vAlign w:val="center"/>
          </w:tcPr>
          <w:p>
            <w:pPr>
              <w:spacing w:after="0" w:line="270"/>
              <w:jc w:val="left"/>
            </w:pPr>
            <w:r>
              <w:rPr>
                <w:rFonts w:ascii="Arial" w:cs="Arial" w:eastAsia="Arial" w:hAnsi="Arial"/>
                <w:b/>
                <w:bCs/>
                <w:color w:val="FFFFFF"/>
                <w:sz w:val="18"/>
                <w:szCs w:val="18"/>
              </w:rPr>
              <w:t xml:space="preserve">Stage</w:t>
            </w:r>
          </w:p>
        </w:tc>
        <w:tc>
          <w:tcPr>
            <w:tcW w:type="dxa" w:w="8060"/>
            <w:tcBorders>
              <w:top w:val="single" w:color="D8D2C2" w:sz="4"/>
              <w:left w:val="single" w:color="D8D2C2" w:sz="4"/>
              <w:bottom w:val="single" w:color="D8D2C2" w:sz="4"/>
              <w:right w:val="single" w:color="D8D2C2" w:sz="4"/>
            </w:tcBorders>
            <w:shd w:fill="1C3A28" w:color="auto" w:val="clear"/>
            <w:tcMar>
              <w:top w:type="dxa" w:w="80"/>
              <w:left w:type="dxa" w:w="110"/>
              <w:bottom w:type="dxa" w:w="80"/>
              <w:right w:type="dxa" w:w="110"/>
            </w:tcMar>
            <w:vAlign w:val="center"/>
          </w:tcPr>
          <w:p>
            <w:pPr>
              <w:spacing w:after="0" w:line="270"/>
              <w:jc w:val="left"/>
            </w:pPr>
            <w:r>
              <w:rPr>
                <w:rFonts w:ascii="Arial" w:cs="Arial" w:eastAsia="Arial" w:hAnsi="Arial"/>
                <w:b/>
                <w:bCs/>
                <w:color w:val="FFFFFF"/>
                <w:sz w:val="18"/>
                <w:szCs w:val="18"/>
              </w:rPr>
              <w:t xml:space="preserve">What changed</w:t>
            </w:r>
          </w:p>
        </w:tc>
      </w:tr>
      <w:tr>
        <w:trPr>
          <w:cantSplit/>
        </w:trPr>
        <w:tc>
          <w:tcPr>
            <w:tcW w:type="dxa" w:w="130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bCs/>
                <w:color w:val="222222"/>
                <w:sz w:val="18"/>
                <w:szCs w:val="18"/>
              </w:rPr>
              <w:t xml:space="preserve">Seen</w:t>
            </w:r>
          </w:p>
        </w:tc>
        <w:tc>
          <w:tcPr>
            <w:tcW w:type="dxa" w:w="806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The llms.txt file at the site root, which tells AI assistants what the site contains, grew from 3,569 to 17,104 bytes. AEO Readiness rose from 60% to 90%.</w:t>
            </w:r>
          </w:p>
        </w:tc>
      </w:tr>
      <w:tr>
        <w:trPr>
          <w:cantSplit/>
        </w:trPr>
        <w:tc>
          <w:tcPr>
            <w:tcW w:type="dxa" w:w="130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bCs/>
                <w:color w:val="222222"/>
                <w:sz w:val="18"/>
                <w:szCs w:val="18"/>
              </w:rPr>
              <w:t xml:space="preserve">Known</w:t>
            </w:r>
          </w:p>
        </w:tc>
        <w:tc>
          <w:tcPr>
            <w:tcW w:type="dxa" w:w="806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The hotel's signed claims grew from 6 to 290, each with a cryptographic signature and an evidence link.</w:t>
            </w:r>
          </w:p>
        </w:tc>
      </w:tr>
      <w:tr>
        <w:trPr>
          <w:cantSplit/>
        </w:trPr>
        <w:tc>
          <w:tcPr>
            <w:tcW w:type="dxa" w:w="130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bCs/>
                <w:color w:val="222222"/>
                <w:sz w:val="18"/>
                <w:szCs w:val="18"/>
              </w:rPr>
              <w:t xml:space="preserve">Trusted</w:t>
            </w:r>
          </w:p>
        </w:tc>
        <w:tc>
          <w:tcPr>
            <w:tcW w:type="dxa" w:w="806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8"/>
                <w:szCs w:val="18"/>
              </w:rPr>
              <w:t xml:space="preserve">Authority rose from 50% to 82%, Trust from 59% to 78%, Experience from 29% to 85%. Outside evidence includes 3,700+ TripAdvisor reviews, a 9.4 out of 10 Booking.com rating from 2,400+ reviews, and press in HOTELS Magazine, Hotel Management and Trip Reporter UK.</w:t>
            </w:r>
          </w:p>
        </w:tc>
      </w:tr>
    </w:tbl>
    <w:p>
      <w:pPr>
        <w:keepNext/>
        <w:pBdr>
          <w:bottom w:val="single" w:color="C4952A" w:sz="6" w:space="3"/>
        </w:pBdr>
        <w:spacing w:after="80" w:before="200"/>
      </w:pPr>
      <w:r>
        <w:rPr>
          <w:rFonts w:ascii="Arial" w:cs="Arial" w:eastAsia="Arial" w:hAnsi="Arial"/>
          <w:b/>
          <w:bCs/>
          <w:color w:val="1C3A28"/>
          <w:sz w:val="24"/>
          <w:szCs w:val="24"/>
        </w:rPr>
        <w:t xml:space="preserve">Scorecard: what each measure means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4760"/>
        <w:gridCol w:w="760"/>
        <w:gridCol w:w="900"/>
        <w:gridCol w:w="1140"/>
      </w:tblGrid>
      <w:tr>
        <w:trPr>
          <w:cantSplit/>
          <w:tblHeader/>
        </w:trPr>
        <w:tc>
          <w:tcPr>
            <w:tcW w:type="dxa" w:w="1800"/>
            <w:tcBorders>
              <w:top w:val="single" w:color="D8D2C2" w:sz="4"/>
              <w:left w:val="single" w:color="D8D2C2" w:sz="4"/>
              <w:bottom w:val="single" w:color="D8D2C2" w:sz="4"/>
              <w:right w:val="single" w:color="D8D2C2" w:sz="4"/>
            </w:tcBorders>
            <w:shd w:fill="1C3A28" w:color="auto" w:val="clear"/>
            <w:tcMar>
              <w:top w:type="dxa" w:w="80"/>
              <w:left w:type="dxa" w:w="110"/>
              <w:bottom w:type="dxa" w:w="80"/>
              <w:right w:type="dxa" w:w="110"/>
            </w:tcMar>
            <w:vAlign w:val="center"/>
          </w:tcPr>
          <w:p>
            <w:pPr>
              <w:spacing w:after="0" w:line="270"/>
              <w:jc w:val="left"/>
            </w:pPr>
            <w:r>
              <w:rPr>
                <w:rFonts w:ascii="Arial" w:cs="Arial" w:eastAsia="Arial" w:hAnsi="Arial"/>
                <w:b/>
                <w:bCs/>
                <w:color w:val="FFFFFF"/>
                <w:sz w:val="19"/>
                <w:szCs w:val="19"/>
              </w:rPr>
              <w:t xml:space="preserve">Measure</w:t>
            </w:r>
          </w:p>
        </w:tc>
        <w:tc>
          <w:tcPr>
            <w:tcW w:type="dxa" w:w="4760"/>
            <w:tcBorders>
              <w:top w:val="single" w:color="D8D2C2" w:sz="4"/>
              <w:left w:val="single" w:color="D8D2C2" w:sz="4"/>
              <w:bottom w:val="single" w:color="D8D2C2" w:sz="4"/>
              <w:right w:val="single" w:color="D8D2C2" w:sz="4"/>
            </w:tcBorders>
            <w:shd w:fill="1C3A28" w:color="auto" w:val="clear"/>
            <w:tcMar>
              <w:top w:type="dxa" w:w="80"/>
              <w:left w:type="dxa" w:w="110"/>
              <w:bottom w:type="dxa" w:w="80"/>
              <w:right w:type="dxa" w:w="110"/>
            </w:tcMar>
            <w:vAlign w:val="center"/>
          </w:tcPr>
          <w:p>
            <w:pPr>
              <w:spacing w:after="0" w:line="270"/>
              <w:jc w:val="left"/>
            </w:pPr>
            <w:r>
              <w:rPr>
                <w:rFonts w:ascii="Arial" w:cs="Arial" w:eastAsia="Arial" w:hAnsi="Arial"/>
                <w:b/>
                <w:bCs/>
                <w:color w:val="FFFFFF"/>
                <w:sz w:val="19"/>
                <w:szCs w:val="19"/>
              </w:rPr>
              <w:t xml:space="preserve">What it means</w:t>
            </w:r>
          </w:p>
        </w:tc>
        <w:tc>
          <w:tcPr>
            <w:tcW w:type="dxa" w:w="760"/>
            <w:tcBorders>
              <w:top w:val="single" w:color="D8D2C2" w:sz="4"/>
              <w:left w:val="single" w:color="D8D2C2" w:sz="4"/>
              <w:bottom w:val="single" w:color="D8D2C2" w:sz="4"/>
              <w:right w:val="single" w:color="D8D2C2" w:sz="4"/>
            </w:tcBorders>
            <w:shd w:fill="1C3A28" w:color="auto" w:val="clear"/>
            <w:tcMar>
              <w:top w:type="dxa" w:w="80"/>
              <w:left w:type="dxa" w:w="110"/>
              <w:bottom w:type="dxa" w:w="80"/>
              <w:right w:type="dxa" w:w="110"/>
            </w:tcMar>
            <w:vAlign w:val="center"/>
          </w:tcPr>
          <w:p>
            <w:pPr>
              <w:spacing w:after="0" w:line="270"/>
              <w:jc w:val="left"/>
            </w:pPr>
            <w:r>
              <w:rPr>
                <w:rFonts w:ascii="Arial" w:cs="Arial" w:eastAsia="Arial" w:hAnsi="Arial"/>
                <w:b/>
                <w:bCs/>
                <w:color w:val="FFFFFF"/>
                <w:sz w:val="19"/>
                <w:szCs w:val="19"/>
              </w:rPr>
              <w:t xml:space="preserve">Jul 8</w:t>
            </w:r>
          </w:p>
        </w:tc>
        <w:tc>
          <w:tcPr>
            <w:tcW w:type="dxa" w:w="900"/>
            <w:tcBorders>
              <w:top w:val="single" w:color="D8D2C2" w:sz="4"/>
              <w:left w:val="single" w:color="D8D2C2" w:sz="4"/>
              <w:bottom w:val="single" w:color="D8D2C2" w:sz="4"/>
              <w:right w:val="single" w:color="D8D2C2" w:sz="4"/>
            </w:tcBorders>
            <w:shd w:fill="1C3A28" w:color="auto" w:val="clear"/>
            <w:tcMar>
              <w:top w:type="dxa" w:w="80"/>
              <w:left w:type="dxa" w:w="110"/>
              <w:bottom w:type="dxa" w:w="80"/>
              <w:right w:type="dxa" w:w="110"/>
            </w:tcMar>
            <w:vAlign w:val="center"/>
          </w:tcPr>
          <w:p>
            <w:pPr>
              <w:spacing w:after="0" w:line="270"/>
              <w:jc w:val="left"/>
            </w:pPr>
            <w:r>
              <w:rPr>
                <w:rFonts w:ascii="Arial" w:cs="Arial" w:eastAsia="Arial" w:hAnsi="Arial"/>
                <w:b/>
                <w:bCs/>
                <w:color w:val="FFFFFF"/>
                <w:sz w:val="19"/>
                <w:szCs w:val="19"/>
              </w:rPr>
              <w:t xml:space="preserve">Sep 29</w:t>
            </w:r>
          </w:p>
        </w:tc>
        <w:tc>
          <w:tcPr>
            <w:tcW w:type="dxa" w:w="1140"/>
            <w:tcBorders>
              <w:top w:val="single" w:color="D8D2C2" w:sz="4"/>
              <w:left w:val="single" w:color="D8D2C2" w:sz="4"/>
              <w:bottom w:val="single" w:color="D8D2C2" w:sz="4"/>
              <w:right w:val="single" w:color="D8D2C2" w:sz="4"/>
            </w:tcBorders>
            <w:shd w:fill="1C3A28" w:color="auto" w:val="clear"/>
            <w:tcMar>
              <w:top w:type="dxa" w:w="80"/>
              <w:left w:type="dxa" w:w="110"/>
              <w:bottom w:type="dxa" w:w="80"/>
              <w:right w:type="dxa" w:w="110"/>
            </w:tcMar>
            <w:vAlign w:val="center"/>
          </w:tcPr>
          <w:p>
            <w:pPr>
              <w:spacing w:after="0" w:line="270"/>
              <w:jc w:val="left"/>
            </w:pPr>
            <w:r>
              <w:rPr>
                <w:rFonts w:ascii="Arial" w:cs="Arial" w:eastAsia="Arial" w:hAnsi="Arial"/>
                <w:b/>
                <w:bCs/>
                <w:color w:val="FFFFFF"/>
                <w:sz w:val="19"/>
                <w:szCs w:val="19"/>
              </w:rPr>
              <w:t xml:space="preserve">Change</w:t>
            </w:r>
          </w:p>
        </w:tc>
      </w:tr>
      <w:tr>
        <w:trPr>
          <w:cantSplit/>
        </w:trPr>
        <w:tc>
          <w:tcPr>
            <w:tcW w:type="dxa" w:w="180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bCs/>
                <w:color w:val="222222"/>
                <w:sz w:val="19"/>
                <w:szCs w:val="19"/>
              </w:rPr>
              <w:t xml:space="preserve">Overall AI Readiness (Entity Trust Score)</w:t>
            </w:r>
          </w:p>
        </w:tc>
        <w:tc>
          <w:tcPr>
            <w:tcW w:type="dxa" w:w="476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9"/>
                <w:szCs w:val="19"/>
              </w:rPr>
              <w:t xml:space="preserve">A single summary of how easily AI assistants such as ChatGPT can identify the hotel, check its facts and trust what they find.</w:t>
            </w:r>
          </w:p>
        </w:tc>
        <w:tc>
          <w:tcPr>
            <w:tcW w:type="dxa" w:w="76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42%</w:t>
            </w:r>
          </w:p>
        </w:tc>
        <w:tc>
          <w:tcPr>
            <w:tcW w:type="dxa" w:w="90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66%</w:t>
            </w:r>
          </w:p>
        </w:tc>
        <w:tc>
          <w:tcPr>
            <w:tcW w:type="dxa" w:w="114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+24 points</w:t>
            </w:r>
          </w:p>
        </w:tc>
      </w:tr>
      <w:tr>
        <w:trPr>
          <w:cantSplit/>
        </w:trPr>
        <w:tc>
          <w:tcPr>
            <w:tcW w:type="dxa" w:w="180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bCs/>
                <w:color w:val="222222"/>
                <w:sz w:val="19"/>
                <w:szCs w:val="19"/>
              </w:rPr>
              <w:t xml:space="preserve">Authority</w:t>
            </w:r>
          </w:p>
        </w:tc>
        <w:tc>
          <w:tcPr>
            <w:tcW w:type="dxa" w:w="476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9"/>
                <w:szCs w:val="19"/>
              </w:rPr>
              <w:t xml:space="preserve">How many respected outside sites, such as TripAdvisor, Booking.com and WorldHotels, vouch for the hotel, and how clearly the hotel's own site points to them.</w:t>
            </w:r>
          </w:p>
        </w:tc>
        <w:tc>
          <w:tcPr>
            <w:tcW w:type="dxa" w:w="76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50%</w:t>
            </w:r>
          </w:p>
        </w:tc>
        <w:tc>
          <w:tcPr>
            <w:tcW w:type="dxa" w:w="90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82%</w:t>
            </w:r>
          </w:p>
        </w:tc>
        <w:tc>
          <w:tcPr>
            <w:tcW w:type="dxa" w:w="114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+32 points</w:t>
            </w:r>
          </w:p>
        </w:tc>
      </w:tr>
      <w:tr>
        <w:trPr>
          <w:cantSplit/>
        </w:trPr>
        <w:tc>
          <w:tcPr>
            <w:tcW w:type="dxa" w:w="180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bCs/>
                <w:color w:val="222222"/>
                <w:sz w:val="19"/>
                <w:szCs w:val="19"/>
              </w:rPr>
              <w:t xml:space="preserve">Trust</w:t>
            </w:r>
          </w:p>
        </w:tc>
        <w:tc>
          <w:tcPr>
            <w:tcW w:type="dxa" w:w="476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9"/>
                <w:szCs w:val="19"/>
              </w:rPr>
              <w:t xml:space="preserve">Whether the basics that make a business safe to recommend are in place: clear contact details, a privacy policy, a secure connection and clear ownership.</w:t>
            </w:r>
          </w:p>
        </w:tc>
        <w:tc>
          <w:tcPr>
            <w:tcW w:type="dxa" w:w="76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59%</w:t>
            </w:r>
          </w:p>
        </w:tc>
        <w:tc>
          <w:tcPr>
            <w:tcW w:type="dxa" w:w="90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78%</w:t>
            </w:r>
          </w:p>
        </w:tc>
        <w:tc>
          <w:tcPr>
            <w:tcW w:type="dxa" w:w="114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+19 points</w:t>
            </w:r>
          </w:p>
        </w:tc>
      </w:tr>
      <w:tr>
        <w:trPr>
          <w:cantSplit/>
        </w:trPr>
        <w:tc>
          <w:tcPr>
            <w:tcW w:type="dxa" w:w="180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bCs/>
                <w:color w:val="222222"/>
                <w:sz w:val="19"/>
                <w:szCs w:val="19"/>
              </w:rPr>
              <w:t xml:space="preserve">Sovereignty</w:t>
            </w:r>
          </w:p>
        </w:tc>
        <w:tc>
          <w:tcPr>
            <w:tcW w:type="dxa" w:w="476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9"/>
                <w:szCs w:val="19"/>
              </w:rPr>
              <w:t xml:space="preserve">How much of the hotel's information is stated by the hotel itself, in a form AI can read directly, so that AI does not have to piece it together from other websites.</w:t>
            </w:r>
          </w:p>
        </w:tc>
        <w:tc>
          <w:tcPr>
            <w:tcW w:type="dxa" w:w="76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45%</w:t>
            </w:r>
          </w:p>
        </w:tc>
        <w:tc>
          <w:tcPr>
            <w:tcW w:type="dxa" w:w="90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63%</w:t>
            </w:r>
          </w:p>
        </w:tc>
        <w:tc>
          <w:tcPr>
            <w:tcW w:type="dxa" w:w="114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+18 points</w:t>
            </w:r>
          </w:p>
        </w:tc>
      </w:tr>
      <w:tr>
        <w:trPr>
          <w:cantSplit/>
        </w:trPr>
        <w:tc>
          <w:tcPr>
            <w:tcW w:type="dxa" w:w="180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bCs/>
                <w:color w:val="222222"/>
                <w:sz w:val="19"/>
                <w:szCs w:val="19"/>
              </w:rPr>
              <w:t xml:space="preserve">AEO Readiness</w:t>
            </w:r>
          </w:p>
        </w:tc>
        <w:tc>
          <w:tcPr>
            <w:tcW w:type="dxa" w:w="476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9"/>
                <w:szCs w:val="19"/>
              </w:rPr>
              <w:t xml:space="preserve">AEO means answer engine optimization. How easily an AI assistant can pull a correct answer, such as room count, hours or price, straight from the site.</w:t>
            </w:r>
          </w:p>
        </w:tc>
        <w:tc>
          <w:tcPr>
            <w:tcW w:type="dxa" w:w="76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60%</w:t>
            </w:r>
          </w:p>
        </w:tc>
        <w:tc>
          <w:tcPr>
            <w:tcW w:type="dxa" w:w="90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90%</w:t>
            </w:r>
          </w:p>
        </w:tc>
        <w:tc>
          <w:tcPr>
            <w:tcW w:type="dxa" w:w="114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+30 points</w:t>
            </w:r>
          </w:p>
        </w:tc>
      </w:tr>
      <w:tr>
        <w:trPr>
          <w:cantSplit/>
        </w:trPr>
        <w:tc>
          <w:tcPr>
            <w:tcW w:type="dxa" w:w="180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bCs/>
                <w:color w:val="222222"/>
                <w:sz w:val="19"/>
                <w:szCs w:val="19"/>
              </w:rPr>
              <w:t xml:space="preserve">Information Gain (IG Delta)</w:t>
            </w:r>
          </w:p>
        </w:tc>
        <w:tc>
          <w:tcPr>
            <w:tcW w:type="dxa" w:w="476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9"/>
                <w:szCs w:val="19"/>
              </w:rPr>
              <w:t xml:space="preserve">How much the content tells AI something it cannot find on any other hotel's site. Specific facts and current information score well. Generic wording and outdated pages score poorly.</w:t>
            </w:r>
          </w:p>
        </w:tc>
        <w:tc>
          <w:tcPr>
            <w:tcW w:type="dxa" w:w="76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56%</w:t>
            </w:r>
          </w:p>
        </w:tc>
        <w:tc>
          <w:tcPr>
            <w:tcW w:type="dxa" w:w="90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64%</w:t>
            </w:r>
          </w:p>
        </w:tc>
        <w:tc>
          <w:tcPr>
            <w:tcW w:type="dxa" w:w="114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+8 points</w:t>
            </w:r>
          </w:p>
        </w:tc>
      </w:tr>
      <w:tr>
        <w:trPr>
          <w:cantSplit/>
        </w:trPr>
        <w:tc>
          <w:tcPr>
            <w:tcW w:type="dxa" w:w="180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bCs/>
                <w:color w:val="222222"/>
                <w:sz w:val="19"/>
                <w:szCs w:val="19"/>
              </w:rPr>
              <w:t xml:space="preserve">Expertise</w:t>
            </w:r>
          </w:p>
        </w:tc>
        <w:tc>
          <w:tcPr>
            <w:tcW w:type="dxa" w:w="476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9"/>
                <w:szCs w:val="19"/>
              </w:rPr>
              <w:t xml:space="preserve">Whether the website's content comes from people who know the subject, shown through named authors and specific detail.</w:t>
            </w:r>
          </w:p>
        </w:tc>
        <w:tc>
          <w:tcPr>
            <w:tcW w:type="dxa" w:w="76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20%</w:t>
            </w:r>
          </w:p>
        </w:tc>
        <w:tc>
          <w:tcPr>
            <w:tcW w:type="dxa" w:w="90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44%</w:t>
            </w:r>
          </w:p>
        </w:tc>
        <w:tc>
          <w:tcPr>
            <w:tcW w:type="dxa" w:w="114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+24 points</w:t>
            </w:r>
          </w:p>
        </w:tc>
      </w:tr>
      <w:tr>
        <w:trPr>
          <w:cantSplit/>
        </w:trPr>
        <w:tc>
          <w:tcPr>
            <w:tcW w:type="dxa" w:w="180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bCs/>
                <w:color w:val="222222"/>
                <w:sz w:val="19"/>
                <w:szCs w:val="19"/>
              </w:rPr>
              <w:t xml:space="preserve">Experience</w:t>
            </w:r>
          </w:p>
        </w:tc>
        <w:tc>
          <w:tcPr>
            <w:tcW w:type="dxa" w:w="476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9"/>
                <w:szCs w:val="19"/>
              </w:rPr>
              <w:t xml:space="preserve">Evidence that real guests have stayed and said so: reviews, awards and press coverage.</w:t>
            </w:r>
          </w:p>
        </w:tc>
        <w:tc>
          <w:tcPr>
            <w:tcW w:type="dxa" w:w="76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29%</w:t>
            </w:r>
          </w:p>
        </w:tc>
        <w:tc>
          <w:tcPr>
            <w:tcW w:type="dxa" w:w="90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85%</w:t>
            </w:r>
          </w:p>
        </w:tc>
        <w:tc>
          <w:tcPr>
            <w:tcW w:type="dxa" w:w="1140"/>
            <w:tcBorders>
              <w:top w:val="single" w:color="D8D2C2" w:sz="4"/>
              <w:left w:val="single" w:color="D8D2C2" w:sz="4"/>
              <w:bottom w:val="single" w:color="D8D2C2" w:sz="4"/>
              <w:right w:val="single" w:color="D8D2C2" w:sz="4"/>
            </w:tcBorders>
            <w:shd w:fill="F5F2EB" w:color="auto" w:val="clear"/>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+56 points</w:t>
            </w:r>
          </w:p>
        </w:tc>
      </w:tr>
      <w:tr>
        <w:trPr>
          <w:cantSplit/>
        </w:trPr>
        <w:tc>
          <w:tcPr>
            <w:tcW w:type="dxa" w:w="180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bCs/>
                <w:color w:val="222222"/>
                <w:sz w:val="19"/>
                <w:szCs w:val="19"/>
              </w:rPr>
              <w:t xml:space="preserve">Fidelity Tax</w:t>
            </w:r>
          </w:p>
        </w:tc>
        <w:tc>
          <w:tcPr>
            <w:tcW w:type="dxa" w:w="476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left"/>
            </w:pPr>
            <w:r>
              <w:rPr>
                <w:rFonts w:ascii="Arial" w:cs="Arial" w:eastAsia="Arial" w:hAnsi="Arial"/>
                <w:b w:val="false"/>
                <w:bCs w:val="false"/>
                <w:color w:val="222222"/>
                <w:sz w:val="19"/>
                <w:szCs w:val="19"/>
              </w:rPr>
              <w:t xml:space="preserve">The extra effort AI spends working out what the hotel means. Words such as luxury cannot be checked, so AI has to guess. It improves as vague phrases give way to specific facts.</w:t>
            </w:r>
          </w:p>
        </w:tc>
        <w:tc>
          <w:tcPr>
            <w:tcW w:type="dxa" w:w="76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18%</w:t>
            </w:r>
          </w:p>
        </w:tc>
        <w:tc>
          <w:tcPr>
            <w:tcW w:type="dxa" w:w="90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24%</w:t>
            </w:r>
          </w:p>
        </w:tc>
        <w:tc>
          <w:tcPr>
            <w:tcW w:type="dxa" w:w="1140"/>
            <w:tcBorders>
              <w:top w:val="single" w:color="D8D2C2" w:sz="4"/>
              <w:left w:val="single" w:color="D8D2C2" w:sz="4"/>
              <w:bottom w:val="single" w:color="D8D2C2" w:sz="4"/>
              <w:right w:val="single" w:color="D8D2C2" w:sz="4"/>
            </w:tcBorders>
            <w:tcMar>
              <w:top w:type="dxa" w:w="80"/>
              <w:left w:type="dxa" w:w="110"/>
              <w:bottom w:type="dxa" w:w="80"/>
              <w:right w:type="dxa" w:w="110"/>
            </w:tcMar>
            <w:vAlign w:val="center"/>
          </w:tcPr>
          <w:p>
            <w:pPr>
              <w:spacing w:after="0" w:line="270"/>
              <w:jc w:val="center"/>
            </w:pPr>
            <w:r>
              <w:rPr>
                <w:rFonts w:ascii="Arial" w:cs="Arial" w:eastAsia="Arial" w:hAnsi="Arial"/>
                <w:b w:val="false"/>
                <w:bCs w:val="false"/>
                <w:color w:val="222222"/>
                <w:sz w:val="19"/>
                <w:szCs w:val="19"/>
              </w:rPr>
              <w:t xml:space="preserve">+6 points</w:t>
            </w:r>
          </w:p>
        </w:tc>
      </w:tr>
    </w:tbl>
    <w:p>
      <w:pPr>
        <w:spacing w:after="60" w:before="60" w:line="300"/>
      </w:pPr>
      <w:r>
        <w:rPr>
          <w:rFonts w:ascii="Arial" w:cs="Arial" w:eastAsia="Arial" w:hAnsi="Arial"/>
          <w:color w:val="666666"/>
          <w:sz w:val="15"/>
          <w:szCs w:val="15"/>
        </w:rPr>
        <w:t xml:space="preserve">Scores are percentages of the points available in each category.</w:t>
      </w:r>
    </w:p>
    <w:p>
      <w:pPr>
        <w:spacing w:after="40" w:before="60"/>
        <w:jc w:val="center"/>
      </w:pPr>
      <w:r>
        <w:drawing>
          <wp:inline distT="0" distB="0" distL="0" distR="0">
            <wp:extent cx="3619500" cy="1990725"/>
            <wp:effectExtent t="0" r="0" b="0" l="0"/>
            <wp:docPr id="1" name="chart2" descr="Bar chart comparing July 8 and September 29 2026 audit scores" title="Before and after sc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619500" cy="1990725"/>
                    </a:xfrm>
                    <a:prstGeom prst="rect">
                      <a:avLst/>
                    </a:prstGeom>
                  </pic:spPr>
                </pic:pic>
              </a:graphicData>
            </a:graphic>
          </wp:inline>
        </w:drawing>
      </w:r>
    </w:p>
    <w:p>
      <w:pPr>
        <w:spacing w:after="0" w:before="40" w:line="300"/>
      </w:pPr>
      <w:r>
        <w:rPr>
          <w:rFonts w:ascii="Arial" w:cs="Arial" w:eastAsia="Arial" w:hAnsi="Arial"/>
          <w:color w:val="666666"/>
          <w:sz w:val="16"/>
          <w:szCs w:val="16"/>
        </w:rPr>
        <w:t xml:space="preserve">Prepared by Donna Rougeau, Founder and Chief Information Architect, Protected by ALFIE Inc.</w:t>
      </w:r>
    </w:p>
    <w:sectPr>
      <w:footerReference w:type="default" r:id="rId7"/>
      <w:pgSz w:w="12240" w:h="15840" w:orient="portrait"/>
      <w:pgMar w:top="900" w:right="1440" w:bottom="9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4952A" w:sz="4" w:space="6"/>
      </w:pBdr>
      <w:jc w:val="center"/>
    </w:pPr>
    <w:r>
      <w:rPr>
        <w:rFonts w:ascii="Arial" w:cs="Arial" w:eastAsia="Arial" w:hAnsi="Arial"/>
        <w:color w:val="666666"/>
        <w:sz w:val="16"/>
        <w:szCs w:val="16"/>
      </w:rPr>
      <w:t xml:space="preserve">Protected by ALFIE Inc.  |  Georgian Court Hotel Vancouver case study  |  Page </w:t>
    </w:r>
    <w:r>
      <w:rPr>
        <w:rFonts w:ascii="Arial" w:cs="Arial" w:eastAsia="Arial" w:hAnsi="Arial"/>
        <w:color w:val="6666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6df0d452a7c388616d0ce8679d95a06a3a5f5f.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Protected by ALFIE Inc.</dc:creator>
  <cp:lastModifiedBy>Un-named</cp:lastModifiedBy>
  <cp:revision>1</cp:revision>
  <dcterms:created xsi:type="dcterms:W3CDTF">2026-10-01T11:51:16.795Z</dcterms:created>
  <dcterms:modified xsi:type="dcterms:W3CDTF">2026-10-01T11:51:16.796Z</dcterms:modified>
</cp:coreProperties>
</file>

<file path=docProps/custom.xml><?xml version="1.0" encoding="utf-8"?>
<Properties xmlns="http://schemas.openxmlformats.org/officeDocument/2006/custom-properties" xmlns:vt="http://schemas.openxmlformats.org/officeDocument/2006/docPropsVTypes"/>
</file>